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68DA2" w14:textId="753BE3DC" w:rsidR="000E2593" w:rsidRPr="00867E09" w:rsidRDefault="000E2593" w:rsidP="000E2593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 xml:space="preserve">Konference </w:t>
      </w:r>
      <w:r w:rsidR="00740E0B" w:rsidRPr="00867E09">
        <w:rPr>
          <w:rFonts w:ascii="Times New Roman" w:hAnsi="Times New Roman" w:cs="Times New Roman"/>
          <w:b/>
          <w:sz w:val="32"/>
          <w:szCs w:val="32"/>
          <w:lang w:val="cs-CZ"/>
        </w:rPr>
        <w:t>Revoluční rok 1989 a jeho vliv na další rozvoj naší vlasti</w:t>
      </w:r>
    </w:p>
    <w:p w14:paraId="15A171E6" w14:textId="1C2A09A1" w:rsidR="007412DD" w:rsidRPr="00867E09" w:rsidRDefault="007412DD" w:rsidP="000E259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(Z cyklu konferencí Regionální rozvoj mezi teorií a praxí.)</w:t>
      </w:r>
    </w:p>
    <w:p w14:paraId="02846349" w14:textId="77777777" w:rsidR="000E2593" w:rsidRPr="00867E09" w:rsidRDefault="000E2593">
      <w:pPr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b/>
          <w:i/>
          <w:sz w:val="24"/>
          <w:szCs w:val="24"/>
          <w:lang w:val="cs-CZ"/>
        </w:rPr>
        <w:t>Tisková zpráva</w:t>
      </w:r>
      <w:bookmarkStart w:id="0" w:name="_GoBack"/>
      <w:bookmarkEnd w:id="0"/>
    </w:p>
    <w:p w14:paraId="2BE19C6C" w14:textId="77777777" w:rsidR="00F1517A" w:rsidRPr="00867E09" w:rsidRDefault="00F1517A">
      <w:pPr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4E8DE84" w14:textId="77777777" w:rsidR="007412DD" w:rsidRPr="00867E09" w:rsidRDefault="00740E0B" w:rsidP="007371C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Ve čtvrtek 11. dubna 2019</w:t>
      </w:r>
      <w:r w:rsidR="000E2593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se na Vysoké škole regionálního rozvoje 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a Bankovním institutu – AMBIS </w:t>
      </w:r>
      <w:r w:rsidR="00C362A0" w:rsidRPr="00867E0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C362A0" w:rsidRPr="00867E09">
        <w:rPr>
          <w:rFonts w:ascii="Times New Roman" w:hAnsi="Times New Roman" w:cs="Times New Roman"/>
          <w:sz w:val="24"/>
          <w:szCs w:val="24"/>
          <w:lang w:val="cs-CZ"/>
        </w:rPr>
        <w:t>Praze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, Řepích</w:t>
      </w:r>
      <w:r w:rsidR="00C362A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konal jubilejní 10</w:t>
      </w:r>
      <w:r w:rsidR="000E2593" w:rsidRPr="00867E09">
        <w:rPr>
          <w:rFonts w:ascii="Times New Roman" w:hAnsi="Times New Roman" w:cs="Times New Roman"/>
          <w:sz w:val="24"/>
          <w:szCs w:val="24"/>
          <w:lang w:val="cs-CZ"/>
        </w:rPr>
        <w:t>. ročník z cyklu odborných konferencí Regionální rozvoj mezi teorií a praxí, letos na velmi aktuální téma „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Revoluční rok 1989 a jeho vliv na další rozvoj naší vlasti </w:t>
      </w:r>
      <w:r w:rsidR="000E2593" w:rsidRPr="00867E09">
        <w:rPr>
          <w:rFonts w:ascii="Times New Roman" w:hAnsi="Times New Roman" w:cs="Times New Roman"/>
          <w:sz w:val="24"/>
          <w:szCs w:val="24"/>
          <w:lang w:val="cs-CZ"/>
        </w:rPr>
        <w:t>”</w:t>
      </w:r>
      <w:r w:rsidR="00C362A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366D5F" w:rsidRPr="00867E09">
        <w:rPr>
          <w:rFonts w:ascii="Times New Roman" w:hAnsi="Times New Roman" w:cs="Times New Roman"/>
          <w:sz w:val="24"/>
          <w:szCs w:val="24"/>
          <w:lang w:val="cs-CZ"/>
        </w:rPr>
        <w:t>Konference navázala na přechozí ročník věnovaný 50. výročí událostí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okolo okupace ČSSR</w:t>
      </w:r>
      <w:r w:rsidR="00366D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roku 1968, který skončil zmařením nadějí na demokratický rozvoj naší vlasti a utopený v marasmu normalizace. </w:t>
      </w:r>
    </w:p>
    <w:p w14:paraId="7E10235D" w14:textId="7B6BF169" w:rsidR="00740E0B" w:rsidRPr="00867E09" w:rsidRDefault="00740E0B" w:rsidP="007371C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Smyslem konference</w:t>
      </w:r>
      <w:r w:rsidR="00366D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bylo připomenout sobě i mladší generaci „</w:t>
      </w:r>
      <w:r w:rsidR="00366D5F" w:rsidRPr="00867E09">
        <w:rPr>
          <w:rFonts w:ascii="Times New Roman" w:hAnsi="Times New Roman" w:cs="Times New Roman"/>
          <w:i/>
          <w:sz w:val="24"/>
          <w:szCs w:val="24"/>
          <w:lang w:val="cs-CZ"/>
        </w:rPr>
        <w:t>veselejší vyprávění</w:t>
      </w:r>
      <w:r w:rsidR="00366D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“ a připomenout tak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zásadní mezníky rozvoje ČR, a to nikoli jen jako soubor historických událostí, ale jako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živou a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nedílnou součást našeho dnešního života.</w:t>
      </w:r>
    </w:p>
    <w:p w14:paraId="093A97DB" w14:textId="6F96D8CC" w:rsidR="000E2593" w:rsidRPr="00867E09" w:rsidRDefault="00C362A0" w:rsidP="007371C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Konferenci spolupořádala o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>becně prospěšná společnost Civit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as per Populi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>. Konferenci zahájila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E0B" w:rsidRPr="00867E09">
        <w:rPr>
          <w:rFonts w:ascii="Times New Roman" w:hAnsi="Times New Roman" w:cs="Times New Roman"/>
          <w:b/>
          <w:sz w:val="24"/>
          <w:szCs w:val="24"/>
          <w:lang w:val="cs-CZ"/>
        </w:rPr>
        <w:t>doc. Ing. arch. Vladimíra Šilhánková, Ph.D.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ředitelka Institutu regionálního rozvoje AMBIS a </w:t>
      </w:r>
      <w:r w:rsidR="00740E0B" w:rsidRPr="00867E09">
        <w:rPr>
          <w:rFonts w:ascii="Times New Roman" w:hAnsi="Times New Roman" w:cs="Times New Roman"/>
          <w:b/>
          <w:sz w:val="24"/>
          <w:szCs w:val="24"/>
          <w:lang w:val="cs-CZ"/>
        </w:rPr>
        <w:t>Mgr. Michael Pondělíček, Ph.D.</w:t>
      </w:r>
      <w:r w:rsidR="007412DD" w:rsidRPr="00867E0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(ředitel C</w:t>
      </w:r>
      <w:r w:rsidR="00867E09" w:rsidRPr="00867E09">
        <w:rPr>
          <w:rFonts w:ascii="Times New Roman" w:hAnsi="Times New Roman" w:cs="Times New Roman"/>
          <w:sz w:val="24"/>
          <w:szCs w:val="24"/>
          <w:lang w:val="cs-CZ"/>
        </w:rPr>
        <w:t>ivitas per Populi,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o.p.s.)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který je jedním z hlavních pořadatelů tohoto cyklu konferencí. Nad konferencí převzala záštitu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také 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>rektorka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AMBIS </w:t>
      </w:r>
      <w:r w:rsidR="00AA0467" w:rsidRPr="00867E09">
        <w:rPr>
          <w:rFonts w:ascii="Times New Roman" w:hAnsi="Times New Roman" w:cs="Times New Roman"/>
          <w:b/>
          <w:sz w:val="24"/>
          <w:szCs w:val="24"/>
          <w:lang w:val="cs-CZ"/>
        </w:rPr>
        <w:t>dr. Martin</w:t>
      </w:r>
      <w:r w:rsidR="007412DD" w:rsidRPr="00867E09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 w:rsidR="00AA0467" w:rsidRPr="00867E0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Mannov</w:t>
      </w:r>
      <w:r w:rsidR="007412DD" w:rsidRPr="00867E09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která 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 úvodu 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onference jejích více než 80 účastníků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upřímně 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pozdravila. 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>Účastníky konference rovněž pozdravil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host -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0E0B" w:rsidRPr="00867E09">
        <w:rPr>
          <w:rFonts w:ascii="Times New Roman" w:hAnsi="Times New Roman" w:cs="Times New Roman"/>
          <w:b/>
          <w:sz w:val="24"/>
          <w:szCs w:val="24"/>
          <w:lang w:val="cs-CZ"/>
        </w:rPr>
        <w:t>RNDr. Josef Postránecký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>, náměstek ministra vnitra pro státní službu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spolupracovník CPP</w:t>
      </w:r>
      <w:r w:rsidR="00740E0B" w:rsidRPr="00867E0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82C0BEA" w14:textId="1CAE7796" w:rsidR="00AF44AE" w:rsidRPr="00867E09" w:rsidRDefault="00B74E2A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Klíčovým řečníkem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po ukončení úvodních zdravic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konference byl 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Mgr. Jan Ruml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, signatář Charty 77 a porevoluční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náměstek i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ministr vnitra, který uvedl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pěknou retrospektivu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širší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rámc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událostí roku 1989, připomněl vznik Charty 77 jako občanské iniciativy v oblasti základních lidských práv a svobod, stejně tak jako vzpomněl na tzv. Palachův týden a brutalitu komunistické policie vůči běžnému obyvatelstvu, které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postupně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projevovalo občanskou neposlušnost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mínil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vliv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prezidenta Havla, vznik politické plurality a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první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svobodné volby.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an Ruml se ve svém referátu neomezil jen na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krátké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vzpomínky, ale věnoval se odkazu sametové revoluce a jejích očekávání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ve vztahu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k dnešku. Zmínil základní premisy demokratické společnosti, kdy „svoboda není možná bez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odpovědnosti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právo není možné bez </w:t>
      </w:r>
      <w:r w:rsidR="007412DD" w:rsidRPr="00867E09">
        <w:rPr>
          <w:rFonts w:ascii="Times New Roman" w:hAnsi="Times New Roman" w:cs="Times New Roman"/>
          <w:sz w:val="24"/>
          <w:szCs w:val="24"/>
          <w:lang w:val="cs-CZ"/>
        </w:rPr>
        <w:t>povinností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politika není možná bez morálky“ a </w:t>
      </w:r>
      <w:r w:rsidR="00AF44AE" w:rsidRPr="00867E09">
        <w:rPr>
          <w:rFonts w:ascii="Times New Roman" w:hAnsi="Times New Roman" w:cs="Times New Roman"/>
          <w:sz w:val="24"/>
          <w:szCs w:val="24"/>
          <w:lang w:val="cs-CZ"/>
        </w:rPr>
        <w:t>podotkl, že bohužel současnost na tato základní východiska porevoluční doby rezignovala. Své vystoupení zakončil výzvou, že bychom měli být pokornější a vnímavější k tomuto odkazu, což nevyžaduje moc „stačí jen nebýt lhostejný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k dění</w:t>
      </w:r>
      <w:r w:rsidR="00AF44AE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“! Vystoupení sklidilo mezi posluchači velký úspěch. </w:t>
      </w:r>
    </w:p>
    <w:p w14:paraId="7129F056" w14:textId="489A1B2D" w:rsidR="00740E0B" w:rsidRPr="00867E09" w:rsidRDefault="00AF44AE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Navazující referát přednesl pan 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Mirek Petr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, disident z Hradce Králové, který se v úvodu vrátil k připomínce předrevoluční rétoriky a reálií. Představil systematickou protestní činnost, která byla realizována v regionech – šíření protistátních tiskovin, rozšiřování „západních“ zpráv, tvorbu politických graffiti a příspěvky do exilových časopisů. Zmínil také disidenta Pavla Wonku, který byl posledním politickým vězněm, který zemřel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na základě útrap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v královéhradecké věznici v roce 1988 ve věku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pouhých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35ti let.</w:t>
      </w:r>
    </w:p>
    <w:p w14:paraId="13CEE18C" w14:textId="13A03AE6" w:rsidR="00AF44AE" w:rsidRPr="00867E09" w:rsidRDefault="00AF44AE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Přes revoluční události roku 1989 doslova doprovodil účastníky konference, jejich přímý účastník 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Mgr. Michael Pondělíček, Ph.D.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D3B9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pracovník předrevolučního undergroundu a nyní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člen akademické obce naší školy. Jsme velmi hrdi, že máme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i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mezi svými </w:t>
      </w:r>
      <w:r w:rsidR="000D3B9F" w:rsidRPr="00867E09">
        <w:rPr>
          <w:rFonts w:ascii="Times New Roman" w:hAnsi="Times New Roman" w:cs="Times New Roman"/>
          <w:sz w:val="24"/>
          <w:szCs w:val="24"/>
          <w:lang w:val="cs-CZ"/>
        </w:rPr>
        <w:t>kolegy takové osobnosti. Dr. Pondělíček hovořil o Patočkově bytové univerzitě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nabídce undergroundového života a kultury pro občany, kteří nechtěli spolupracovat s režimem.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Dále byla prezentována distribuce zpráv, tiskovin a médií, až po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tvorb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distribuci nelegálních Lidových novin a po vzpomínky na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události 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>Palach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týdn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>dalších. Zajímavé také bylo zamyšlení nad tím</w:t>
      </w:r>
      <w:r w:rsidR="00867E09" w:rsidRPr="00867E0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co vlastně předcházelo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eskalaci napětí ve společnosti 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nejen 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do 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>17. listopadu, ale i navazující dění na vysokých školách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i ve společnosti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– okupační studentskou stávku a vývoz revoluce do regionů</w:t>
      </w:r>
      <w:r w:rsidR="00A754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ale hlavně 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>změnou a rekonstrukcí celé společnosti</w:t>
      </w:r>
      <w:r w:rsidR="00C52CCA" w:rsidRPr="00867E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66D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876BA84" w14:textId="05005217" w:rsidR="00464A88" w:rsidRPr="00867E09" w:rsidRDefault="00077E2D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Navazující řečníci se věnovali srovnání doby před a po listopadu 1989. Hlavním řečníkem této části byl 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Ing. Václav Kupka, CSc.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pracovník prognostického ústavu a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porevoluční náměstek ministra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pro místní rozvoj a rovněž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bývalý kolega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>z naší VŠ. Ing. Kupka se věnoval zejména otázkám transformace ekonomiky v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 průběhu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90. let od plánovaného k tržnímu hospodářství. Připomenul, že v té době existovaly dva zásadní přístupy k transformaci naší ekonomiky, a to reformní – gradualistický, který chtěl navázat na procesy z roku 1968, které byly normalizací přerušeny a přístup transformační – šokový, který představoval liberalizaci 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a kapitalizaci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>ekonomiky – uvolnění cen, uvolnění zahraničního obchodu a privatizaci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ve dvou vlnách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>Ing. Kupka u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>pozornil, že tyto ekonomické procesy byly spojeny s devalvací koruny a udržováním fixního směnného kurzu a zároveň regulací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výše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mezd při existenci značné inflace (meziročně až 50%)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spojené s poklesem HDP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a mohly proto být realizovány jen za nesmírné trpělivosti obyvatelstva a časově značně omezeně.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Předrevoluční ekonomika trpěla značným vnitřním dluhem, kapitál měl jen nízkou hodnotu a nebyl dostatek volného kapitálu na 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další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investice.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Svůj výklad pojal ing. Kupka velmi zajímavě jako „tři spory Václava Klause“, kdy první spor s Waltrem Komárkem se týkal samé podstaty privatizace, druhý spor s Tomášem Ježkem se týkal podoby 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kuponové </w:t>
      </w:r>
      <w:r w:rsidR="0065745F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privatizace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>ve smyslu „rychle vs. zabezpečeně“ a spor třetí (s časovým odstupem) byl spor s Milošem Zemanem ohledně</w:t>
      </w:r>
      <w:r w:rsidR="007F036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způsobu a doby </w:t>
      </w:r>
      <w:r w:rsidR="00464A8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privatizace bank. V závěru ing. Kupka upozornil, že porevoluční doba, na rozdíl od té současné měla jasnou vizi směřování ekonomiky, která nám v tuto chvíli chybí a bylo by potřebné vytvořit jasnou posttransformační ekonomickou strategii. </w:t>
      </w:r>
    </w:p>
    <w:p w14:paraId="69E67D02" w14:textId="6B38B5E2" w:rsidR="004F7550" w:rsidRPr="00867E09" w:rsidRDefault="00464A88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Navazujícím řečníkem byl emeritní pracovník</w:t>
      </w:r>
      <w:r w:rsidR="00450E87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Státní ochrany přírody a krajiny a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Ministerstva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životního prostředí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RNDr. Miloslav Novák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, který popsal stav životního prostředí před rokem 1989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boj za zveřejnění údajů o jeho kvalitě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aby vysvětlil, proč právě otázky kvality </w:t>
      </w:r>
      <w:r w:rsidR="001951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a obnovy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životního prostředí stály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v popředí revolučních témat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převratu,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hned po boku otázek svobody, lidských práv a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pluralitní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demokracie. Znečištění ovzduší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bylo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zejména v severočeském regionu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natolik zničené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již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nebylo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možné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za nepříznivých dnů vycházet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ven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bez roušky či masky, rovněž byly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silně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znečištěné vodní toky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, zdroje podzemní vody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a řada potravin byla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na hranici poživatelnosti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1951C8" w:rsidRPr="00867E09">
        <w:rPr>
          <w:rFonts w:ascii="Times New Roman" w:hAnsi="Times New Roman" w:cs="Times New Roman"/>
          <w:sz w:val="24"/>
          <w:szCs w:val="24"/>
          <w:lang w:val="cs-CZ"/>
        </w:rPr>
        <w:t>ehdy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docházelo k zrození řady doslova zoufalých místních iniciativ a</w:t>
      </w:r>
      <w:r w:rsidR="001951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ke vzniku ilegálních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nebo „jen“ nepovolených hnutí</w:t>
      </w:r>
      <w:r w:rsidR="001951C8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na ochranu ŽP. Byla zmíněna Ekologická společnost ing.</w:t>
      </w:r>
      <w:r w:rsidR="00867E0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Ivana Dejmala vydávající Ekologický Bulletin, Hnutí Děti Země a také řada lokálních iniciativ. Podklady pro odborná jednání se často dostávaly ven za pomoci Ekologické sekce tehdejší ČSAV, která byla nakonec přestěhována mimo Prahu. Revoluční otřesy vedly nejdříve k převodu agendy životního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lastRenderedPageBreak/>
        <w:t>prostředí na Ministerstvo vnitra a pak vzniklo jako produkt převratu i ministerstvo životního prostředí s ministrem Dr.</w:t>
      </w:r>
      <w:r w:rsidR="00867E09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B. 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Moldanem, což bylo považováno za úspěch. Následně začalo publikování údajů o ŽP a hledání cest jak snížit zn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F7550" w:rsidRPr="00867E09">
        <w:rPr>
          <w:rFonts w:ascii="Times New Roman" w:hAnsi="Times New Roman" w:cs="Times New Roman"/>
          <w:sz w:val="24"/>
          <w:szCs w:val="24"/>
          <w:lang w:val="cs-CZ"/>
        </w:rPr>
        <w:t>čištění prostředí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jako celku.</w:t>
      </w:r>
    </w:p>
    <w:p w14:paraId="1F8BAF9B" w14:textId="0AC3C4FA" w:rsidR="00464A88" w:rsidRPr="00867E09" w:rsidRDefault="00464A88" w:rsidP="00B74E2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Jako poslední vystoupila </w:t>
      </w:r>
      <w:r w:rsidRPr="00867E09">
        <w:rPr>
          <w:rFonts w:ascii="Times New Roman" w:hAnsi="Times New Roman" w:cs="Times New Roman"/>
          <w:b/>
          <w:sz w:val="24"/>
          <w:szCs w:val="24"/>
          <w:lang w:val="cs-CZ"/>
        </w:rPr>
        <w:t>Ing. arch. Lenka Zídková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, která popsala projekční praxi před rokem 1989 v rámci státních projektových ústavů na příkladu fungování Stavoprojektu v Hradci </w:t>
      </w:r>
      <w:r w:rsidR="00A939BB" w:rsidRPr="00867E09">
        <w:rPr>
          <w:rFonts w:ascii="Times New Roman" w:hAnsi="Times New Roman" w:cs="Times New Roman"/>
          <w:sz w:val="24"/>
          <w:szCs w:val="24"/>
          <w:lang w:val="cs-CZ"/>
        </w:rPr>
        <w:t>Králové. Zmínila, že práce architektů v takových projektových ústavech byla podrobována trvalé kontrole a schvalování projektů „Krajskými investorskými ústavy“ a zejména podnikem „Pozemní stavby“, kteří diktovali stavební technologii, kapacity apod., takže výsledné dílo na kvalitě a zkušenostech architekta v podstatě téměř nezáviselo. Architekt také neměl k vyprojektovanému dílu žádná autorská práva. Arch. Zídková ovšem také poznamenala, že „</w:t>
      </w:r>
      <w:r w:rsidR="00A939BB" w:rsidRPr="00867E09">
        <w:rPr>
          <w:rFonts w:ascii="Times New Roman" w:hAnsi="Times New Roman" w:cs="Times New Roman"/>
          <w:i/>
          <w:sz w:val="24"/>
          <w:szCs w:val="24"/>
          <w:lang w:val="cs-CZ"/>
        </w:rPr>
        <w:t>to bylo vlastně skoro jedno, protože se projektovalo jen pár staveb ročně a většina projektů se stejně nerealizovala a skončila v šuplíku</w:t>
      </w:r>
      <w:r w:rsidR="00A939BB" w:rsidRPr="00867E09">
        <w:rPr>
          <w:rFonts w:ascii="Times New Roman" w:hAnsi="Times New Roman" w:cs="Times New Roman"/>
          <w:sz w:val="24"/>
          <w:szCs w:val="24"/>
          <w:lang w:val="cs-CZ"/>
        </w:rPr>
        <w:t>“. Vzpomenula dále dramatické změny v 90. letech, které byly spojeny nejen s osamostatňováním a privatizací jednotlivých projektových atelierů, ale i změny v oblasti technologie projektování spojené s nástupem počítačů a doslova skokovou změnu v množství a kvalitě materiálů, které mohly být pro výstavbu použity. Zmínila také, že zcela zmizelo projektování do šuplíku a většina projektů tak byla realizována, stejně jako změnu v množství projektů, které byly jednotlivé ateliéry dí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A939B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y nové technologii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byly </w:t>
      </w:r>
      <w:r w:rsidR="00A939BB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schopny vyprodukovat, které vzrostly z několika jednotek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939BB" w:rsidRPr="00867E09">
        <w:rPr>
          <w:rFonts w:ascii="Times New Roman" w:hAnsi="Times New Roman" w:cs="Times New Roman"/>
          <w:sz w:val="24"/>
          <w:szCs w:val="24"/>
          <w:lang w:val="cs-CZ"/>
        </w:rPr>
        <w:t>a desítky až stovky projektů ročně.</w:t>
      </w:r>
    </w:p>
    <w:p w14:paraId="70F615B1" w14:textId="4E78CD05" w:rsidR="00740E0B" w:rsidRPr="00867E09" w:rsidRDefault="00A939BB" w:rsidP="00A939BB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Všichni referující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přinesli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velmi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cenný soubor věcných informací, ale i řadu osobních postřehů, kterými v řadě případů překvapili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v sále přítomnou 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mladou regionalistickou generaci, která o mnoha diskutovaných tématech měla velmi mlhavé povědomí. Všichni účastníci konference se shodli, že setkání bylo velmi přínosné a všeobecně poučné. Vybrané příspěvky z konference by měly být publikovány v časopise Regionální rozvoj mezi teorií a praxí, aby se tak s nimi mohli seznámit i ti, kdo se konference zúčastnit nemohli a aby zůstaly trvalou reflexí </w:t>
      </w:r>
      <w:r w:rsidR="00E219CD" w:rsidRPr="00867E09">
        <w:rPr>
          <w:rFonts w:ascii="Times New Roman" w:hAnsi="Times New Roman" w:cs="Times New Roman"/>
          <w:sz w:val="24"/>
          <w:szCs w:val="24"/>
          <w:lang w:val="cs-CZ"/>
        </w:rPr>
        <w:t>diskutované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 xml:space="preserve"> složité doby.</w:t>
      </w:r>
    </w:p>
    <w:p w14:paraId="4D92A724" w14:textId="6AB903EE" w:rsidR="00120981" w:rsidRPr="00867E09" w:rsidRDefault="00740E0B" w:rsidP="003E0B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67E09">
        <w:rPr>
          <w:rFonts w:ascii="Times New Roman" w:hAnsi="Times New Roman" w:cs="Times New Roman"/>
          <w:sz w:val="24"/>
          <w:szCs w:val="24"/>
          <w:lang w:val="cs-CZ"/>
        </w:rPr>
        <w:t>Vladimíra Šilhánková, 12</w:t>
      </w:r>
      <w:r w:rsidR="00120981" w:rsidRPr="00867E0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67E09">
        <w:rPr>
          <w:rFonts w:ascii="Times New Roman" w:hAnsi="Times New Roman" w:cs="Times New Roman"/>
          <w:sz w:val="24"/>
          <w:szCs w:val="24"/>
          <w:lang w:val="cs-CZ"/>
        </w:rPr>
        <w:t>4.2019</w:t>
      </w:r>
      <w:r w:rsidR="00AA0467" w:rsidRPr="00867E09">
        <w:rPr>
          <w:rFonts w:ascii="Times New Roman" w:hAnsi="Times New Roman" w:cs="Times New Roman"/>
          <w:sz w:val="24"/>
          <w:szCs w:val="24"/>
          <w:lang w:val="cs-CZ"/>
        </w:rPr>
        <w:br/>
        <w:t>vladimira.silhankova@ambis</w:t>
      </w:r>
      <w:r w:rsidR="00120981" w:rsidRPr="00867E09">
        <w:rPr>
          <w:rFonts w:ascii="Times New Roman" w:hAnsi="Times New Roman" w:cs="Times New Roman"/>
          <w:sz w:val="24"/>
          <w:szCs w:val="24"/>
          <w:lang w:val="cs-CZ"/>
        </w:rPr>
        <w:t>.cz</w:t>
      </w:r>
    </w:p>
    <w:sectPr w:rsidR="00120981" w:rsidRPr="00867E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414"/>
    <w:multiLevelType w:val="hybridMultilevel"/>
    <w:tmpl w:val="C6D42F12"/>
    <w:lvl w:ilvl="0" w:tplc="26DE8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C005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A1E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8B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A4E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64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21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7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AA4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984807"/>
    <w:multiLevelType w:val="hybridMultilevel"/>
    <w:tmpl w:val="0C8221DA"/>
    <w:lvl w:ilvl="0" w:tplc="F5347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49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03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4E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8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AD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84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C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E4734F"/>
    <w:multiLevelType w:val="multilevel"/>
    <w:tmpl w:val="A8544A3E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39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226"/>
      </w:pPr>
      <w:rPr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113"/>
      </w:p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2182" w:hanging="648"/>
      </w:pPr>
    </w:lvl>
    <w:lvl w:ilvl="4">
      <w:start w:val="1"/>
      <w:numFmt w:val="decimal"/>
      <w:lvlText w:val="%1.%2.%3.%4.%5."/>
      <w:lvlJc w:val="left"/>
      <w:pPr>
        <w:tabs>
          <w:tab w:val="num" w:pos="5134"/>
        </w:tabs>
        <w:ind w:left="2686" w:hanging="792"/>
      </w:pPr>
    </w:lvl>
    <w:lvl w:ilvl="5">
      <w:start w:val="1"/>
      <w:numFmt w:val="decimal"/>
      <w:lvlText w:val="%1.%2.%3.%4.%5.%6."/>
      <w:lvlJc w:val="left"/>
      <w:pPr>
        <w:tabs>
          <w:tab w:val="num" w:pos="6214"/>
        </w:tabs>
        <w:ind w:left="31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94"/>
        </w:tabs>
        <w:ind w:left="36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74"/>
        </w:tabs>
        <w:ind w:left="41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94"/>
        </w:tabs>
        <w:ind w:left="4774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93"/>
    <w:rsid w:val="00077E2D"/>
    <w:rsid w:val="000D3B9F"/>
    <w:rsid w:val="000E2593"/>
    <w:rsid w:val="00106E15"/>
    <w:rsid w:val="00120981"/>
    <w:rsid w:val="001255BB"/>
    <w:rsid w:val="0016223F"/>
    <w:rsid w:val="001951C8"/>
    <w:rsid w:val="00366D5F"/>
    <w:rsid w:val="003817F7"/>
    <w:rsid w:val="003C3B5B"/>
    <w:rsid w:val="003E0BAD"/>
    <w:rsid w:val="00403561"/>
    <w:rsid w:val="00424ADC"/>
    <w:rsid w:val="00450E87"/>
    <w:rsid w:val="00464A88"/>
    <w:rsid w:val="004B1D93"/>
    <w:rsid w:val="004F7550"/>
    <w:rsid w:val="0054687E"/>
    <w:rsid w:val="00587331"/>
    <w:rsid w:val="005B1E36"/>
    <w:rsid w:val="005B55C4"/>
    <w:rsid w:val="005C03D7"/>
    <w:rsid w:val="0065745F"/>
    <w:rsid w:val="006C39D0"/>
    <w:rsid w:val="007371CE"/>
    <w:rsid w:val="00740E0B"/>
    <w:rsid w:val="007412DD"/>
    <w:rsid w:val="00773CAB"/>
    <w:rsid w:val="007F0369"/>
    <w:rsid w:val="00867E09"/>
    <w:rsid w:val="00A754C8"/>
    <w:rsid w:val="00A939BB"/>
    <w:rsid w:val="00AA0467"/>
    <w:rsid w:val="00AF44AE"/>
    <w:rsid w:val="00B2564C"/>
    <w:rsid w:val="00B40EC4"/>
    <w:rsid w:val="00B74E2A"/>
    <w:rsid w:val="00BC0213"/>
    <w:rsid w:val="00C362A0"/>
    <w:rsid w:val="00C52CCA"/>
    <w:rsid w:val="00D3496F"/>
    <w:rsid w:val="00DD28EA"/>
    <w:rsid w:val="00E219CD"/>
    <w:rsid w:val="00E711A3"/>
    <w:rsid w:val="00F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CE60"/>
  <w15:chartTrackingRefBased/>
  <w15:docId w15:val="{7B8BE615-8CE0-4907-83CF-9A984D21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E259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5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593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25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D3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046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0E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3B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37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1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1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1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Šilhánková</dc:creator>
  <cp:keywords/>
  <dc:description/>
  <cp:lastModifiedBy>user</cp:lastModifiedBy>
  <cp:revision>3</cp:revision>
  <dcterms:created xsi:type="dcterms:W3CDTF">2019-04-15T16:47:00Z</dcterms:created>
  <dcterms:modified xsi:type="dcterms:W3CDTF">2019-04-15T16:49:00Z</dcterms:modified>
</cp:coreProperties>
</file>